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2CCDB48" w:rsidR="00996E29" w:rsidRPr="001C52FC" w:rsidRDefault="009A74B5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37DB56B" w:rsidR="00996E29" w:rsidRPr="001D09FE" w:rsidRDefault="00F97E5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A8A5E69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F97E58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F97E58" w:rsidRPr="00F97E58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60FB6" w:rsidRPr="00260FB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260FB6" w:rsidRPr="00260FB6">
        <w:rPr>
          <w:rFonts w:ascii="Times New Roman" w:hAnsi="Times New Roman"/>
          <w:b/>
          <w:bCs/>
          <w:i/>
          <w:iCs/>
          <w:sz w:val="24"/>
          <w:szCs w:val="24"/>
        </w:rPr>
        <w:t>Четыреста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B9DF9F6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F97E58">
        <w:rPr>
          <w:rFonts w:ascii="Times New Roman" w:hAnsi="Times New Roman"/>
          <w:b/>
          <w:bCs/>
          <w:i/>
          <w:iCs/>
          <w:color w:val="000000"/>
        </w:rPr>
        <w:t>6</w:t>
      </w:r>
      <w:r w:rsidR="00F97E58" w:rsidRPr="00F97E58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F8CE7DD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F97E58">
        <w:rPr>
          <w:b/>
          <w:i/>
          <w:sz w:val="22"/>
          <w:szCs w:val="22"/>
        </w:rPr>
        <w:t>6</w:t>
      </w:r>
      <w:r w:rsidR="00F97E58" w:rsidRPr="00F97E58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4C378A">
        <w:rPr>
          <w:b/>
          <w:i/>
          <w:sz w:val="22"/>
          <w:szCs w:val="22"/>
        </w:rPr>
        <w:t>0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9613B4B" w:rsidR="00610E7E" w:rsidRPr="00FC2AE6" w:rsidRDefault="00260FB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4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Четыреста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29114ED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F97E58" w:rsidRPr="00F97E58">
        <w:rPr>
          <w:b/>
          <w:bCs/>
          <w:i/>
          <w:iCs/>
          <w:color w:val="000000" w:themeColor="text1"/>
          <w:sz w:val="22"/>
          <w:szCs w:val="22"/>
        </w:rPr>
        <w:t>08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F97E58" w:rsidRPr="00F97E58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61F670B2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i/>
          <w:iCs/>
          <w:sz w:val="22"/>
        </w:rPr>
        <w:t>Количество периодов дополнительного дохода</w:t>
      </w:r>
      <w:r w:rsidRPr="00DC32C6">
        <w:rPr>
          <w:rFonts w:ascii="Times New Roman" w:hAnsi="Times New Roman" w:cs="Times New Roman"/>
          <w:sz w:val="22"/>
        </w:rPr>
        <w:t xml:space="preserve"> - 6 </w:t>
      </w:r>
    </w:p>
    <w:p w14:paraId="464E4377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i/>
          <w:iCs/>
          <w:sz w:val="22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437F0E29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sz w:val="22"/>
        </w:rPr>
        <w:t xml:space="preserve">j = 1: </w:t>
      </w:r>
      <w:r w:rsidRPr="00DC32C6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7C4F243E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sz w:val="22"/>
        </w:rPr>
        <w:t xml:space="preserve">j = 2: </w:t>
      </w:r>
      <w:r w:rsidRPr="00DC32C6">
        <w:rPr>
          <w:rFonts w:ascii="Times New Roman" w:hAnsi="Times New Roman" w:cs="Times New Roman"/>
          <w:sz w:val="22"/>
        </w:rPr>
        <w:t xml:space="preserve">Ставка дополнительного дохода = </w:t>
      </w:r>
      <m:oMath>
        <m:r>
          <w:rPr>
            <w:rFonts w:ascii="Cambria Math" w:hAnsi="Cambria Math" w:cs="Times New Roman"/>
            <w:sz w:val="22"/>
          </w:rPr>
          <m:t>1%*max</m:t>
        </m:r>
        <m:d>
          <m:dPr>
            <m:ctrlPr>
              <w:rPr>
                <w:rFonts w:ascii="Cambria Math" w:hAnsi="Cambria Math" w:cs="Times New Roman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2"/>
              </w:rPr>
              <m:t>-1;0</m:t>
            </m:r>
          </m:e>
        </m:d>
      </m:oMath>
      <w:r w:rsidRPr="00DC32C6">
        <w:rPr>
          <w:rFonts w:ascii="Times New Roman" w:hAnsi="Times New Roman" w:cs="Times New Roman"/>
          <w:sz w:val="22"/>
        </w:rPr>
        <w:t xml:space="preserve">; </w:t>
      </w:r>
    </w:p>
    <w:p w14:paraId="032E4734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sz w:val="22"/>
        </w:rPr>
        <w:t xml:space="preserve">j = 3: </w:t>
      </w:r>
      <w:r w:rsidRPr="00DC32C6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216E3FED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sz w:val="22"/>
        </w:rPr>
        <w:t xml:space="preserve">j = 4: </w:t>
      </w:r>
      <w:r w:rsidRPr="00DC32C6">
        <w:rPr>
          <w:rFonts w:ascii="Times New Roman" w:hAnsi="Times New Roman" w:cs="Times New Roman"/>
          <w:sz w:val="22"/>
        </w:rPr>
        <w:t xml:space="preserve">Ставка дополнительного дохода = </w:t>
      </w:r>
      <m:oMath>
        <m:r>
          <w:rPr>
            <w:rFonts w:ascii="Cambria Math" w:hAnsi="Cambria Math" w:cs="Times New Roman"/>
            <w:sz w:val="22"/>
          </w:rPr>
          <m:t>1%*max</m:t>
        </m:r>
        <m:d>
          <m:dPr>
            <m:ctrlPr>
              <w:rPr>
                <w:rFonts w:ascii="Cambria Math" w:hAnsi="Cambria Math" w:cs="Times New Roman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2"/>
              </w:rPr>
              <m:t>-1;0</m:t>
            </m:r>
          </m:e>
        </m:d>
      </m:oMath>
      <w:r w:rsidRPr="00DC32C6">
        <w:rPr>
          <w:rFonts w:ascii="Times New Roman" w:hAnsi="Times New Roman" w:cs="Times New Roman"/>
          <w:sz w:val="22"/>
        </w:rPr>
        <w:t xml:space="preserve">; </w:t>
      </w:r>
    </w:p>
    <w:p w14:paraId="1D973D1F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sz w:val="22"/>
        </w:rPr>
        <w:t xml:space="preserve">j = 5: </w:t>
      </w:r>
      <w:r w:rsidRPr="00DC32C6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4E108675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sz w:val="22"/>
        </w:rPr>
        <w:t xml:space="preserve">j = 6: </w:t>
      </w:r>
      <w:r w:rsidRPr="00DC32C6">
        <w:rPr>
          <w:rFonts w:ascii="Times New Roman" w:hAnsi="Times New Roman" w:cs="Times New Roman"/>
          <w:sz w:val="22"/>
        </w:rPr>
        <w:t xml:space="preserve">Ставка дополнительного дохода = </w:t>
      </w:r>
      <m:oMath>
        <m:r>
          <w:rPr>
            <w:rFonts w:ascii="Cambria Math" w:hAnsi="Cambria Math" w:cs="Times New Roman"/>
            <w:sz w:val="22"/>
          </w:rPr>
          <m:t>R*max</m:t>
        </m:r>
        <m:d>
          <m:dPr>
            <m:ctrlPr>
              <w:rPr>
                <w:rFonts w:ascii="Cambria Math" w:hAnsi="Cambria Math" w:cs="Times New Roman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2"/>
              </w:rPr>
              <m:t>-1;0</m:t>
            </m:r>
          </m:e>
        </m:d>
      </m:oMath>
      <w:r w:rsidRPr="00DC32C6">
        <w:rPr>
          <w:rFonts w:ascii="Times New Roman" w:hAnsi="Times New Roman" w:cs="Times New Roman"/>
          <w:sz w:val="22"/>
        </w:rPr>
        <w:t>.</w:t>
      </w:r>
    </w:p>
    <w:p w14:paraId="6B03192F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sz w:val="22"/>
        </w:rPr>
        <w:t>Где</w:t>
      </w:r>
    </w:p>
    <w:p w14:paraId="70EA0261" w14:textId="63D49161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i/>
          <w:iCs/>
          <w:sz w:val="22"/>
        </w:rPr>
        <w:t>R</w:t>
      </w:r>
      <w:r w:rsidRPr="00DC32C6">
        <w:rPr>
          <w:rFonts w:ascii="Times New Roman" w:hAnsi="Times New Roman" w:cs="Times New Roman"/>
          <w:sz w:val="22"/>
        </w:rPr>
        <w:t xml:space="preserve"> – величина </w:t>
      </w:r>
      <w:r w:rsidRPr="00DC32C6">
        <w:rPr>
          <w:rFonts w:ascii="Times New Roman" w:hAnsi="Times New Roman" w:cs="Times New Roman"/>
          <w:b/>
          <w:bCs/>
          <w:sz w:val="22"/>
        </w:rPr>
        <w:t>Параметра</w:t>
      </w:r>
      <w:r w:rsidRPr="00DC32C6">
        <w:rPr>
          <w:rFonts w:ascii="Times New Roman" w:hAnsi="Times New Roman" w:cs="Times New Roman"/>
          <w:sz w:val="22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DC32C6">
        <w:rPr>
          <w:rFonts w:ascii="Times New Roman" w:hAnsi="Times New Roman" w:cs="Times New Roman"/>
          <w:b/>
          <w:bCs/>
          <w:i/>
          <w:iCs/>
          <w:sz w:val="22"/>
        </w:rPr>
        <w:t>Параметра</w:t>
      </w:r>
      <w:r w:rsidRPr="00DC32C6">
        <w:rPr>
          <w:rFonts w:ascii="Times New Roman" w:hAnsi="Times New Roman" w:cs="Times New Roman"/>
          <w:sz w:val="22"/>
        </w:rPr>
        <w:t xml:space="preserve"> раскрывается Эмитентом в соответствии с подпунктом 23.3 (1) пункта 11 Программы; </w:t>
      </w:r>
    </w:p>
    <w:p w14:paraId="5C6A2910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i/>
          <w:iCs/>
          <w:sz w:val="22"/>
        </w:rPr>
        <w:t>S(0)</w:t>
      </w:r>
      <w:r w:rsidRPr="00DC32C6">
        <w:rPr>
          <w:rFonts w:ascii="Times New Roman" w:hAnsi="Times New Roman" w:cs="Times New Roman"/>
          <w:sz w:val="22"/>
        </w:rPr>
        <w:t xml:space="preserve"> – цена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6FB64551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i/>
          <w:iCs/>
          <w:sz w:val="22"/>
        </w:rPr>
        <w:t>S(j)</w:t>
      </w:r>
      <w:r w:rsidRPr="00DC32C6">
        <w:rPr>
          <w:rFonts w:ascii="Times New Roman" w:hAnsi="Times New Roman" w:cs="Times New Roman"/>
          <w:sz w:val="22"/>
        </w:rPr>
        <w:t xml:space="preserve"> – цена Референсного актива в Дату определения дополнительного дохода (j) на соответствующей бирже Референсного актива в валюте Референсного актива. </w:t>
      </w:r>
    </w:p>
    <w:p w14:paraId="3E8E33F4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i/>
          <w:iCs/>
          <w:sz w:val="22"/>
        </w:rPr>
        <w:t>Торговый день</w:t>
      </w:r>
      <w:r w:rsidRPr="00DC32C6">
        <w:rPr>
          <w:rFonts w:ascii="Times New Roman" w:hAnsi="Times New Roman" w:cs="Times New Roman"/>
          <w:sz w:val="22"/>
        </w:rPr>
        <w:t xml:space="preserve"> – каждый день, в который осуществляются торги всеми Референсными активами.</w:t>
      </w:r>
    </w:p>
    <w:p w14:paraId="706BF779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i/>
          <w:iCs/>
          <w:sz w:val="22"/>
        </w:rPr>
        <w:t xml:space="preserve">Дата определения дополнительного дохода (j): </w:t>
      </w:r>
    </w:p>
    <w:p w14:paraId="7901C302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sz w:val="22"/>
        </w:rPr>
        <w:t>Для всех периодов дополнительного дохода Датой определения дополнительного дохода является 5 (пятый) Торговый День, предшествующий Дате выплаты дополнительного дохода.</w:t>
      </w:r>
      <w:r w:rsidRPr="00DC32C6">
        <w:rPr>
          <w:rFonts w:ascii="Times New Roman" w:hAnsi="Times New Roman" w:cs="Times New Roman"/>
          <w:sz w:val="22"/>
        </w:rPr>
        <w:br/>
      </w:r>
      <w:r w:rsidRPr="00DC32C6">
        <w:rPr>
          <w:rFonts w:ascii="Times New Roman" w:hAnsi="Times New Roman" w:cs="Times New Roman"/>
          <w:sz w:val="22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53A30CDA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i/>
          <w:iCs/>
          <w:sz w:val="22"/>
        </w:rPr>
        <w:t xml:space="preserve">Референсные активы: </w:t>
      </w:r>
    </w:p>
    <w:p w14:paraId="3130DB0B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sz w:val="22"/>
        </w:rPr>
        <w:t>Наименование: SPX Index</w:t>
      </w:r>
    </w:p>
    <w:p w14:paraId="3A4FF24A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sz w:val="22"/>
        </w:rPr>
        <w:t>ISIN: US78378X1072</w:t>
      </w:r>
    </w:p>
    <w:p w14:paraId="280ECAB0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sz w:val="22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5A82988E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sz w:val="22"/>
        </w:rPr>
        <w:t xml:space="preserve">Источник цены (ссылка): </w:t>
      </w:r>
      <w:hyperlink r:id="rId8" w:history="1">
        <w:r w:rsidRPr="00DC32C6">
          <w:rPr>
            <w:rStyle w:val="a6"/>
            <w:rFonts w:ascii="Times New Roman" w:hAnsi="Times New Roman"/>
            <w:sz w:val="22"/>
          </w:rPr>
          <w:t>https://www.nasdaq.com/market-activity/index/spx/historical</w:t>
        </w:r>
      </w:hyperlink>
      <w:r w:rsidRPr="00DC32C6">
        <w:rPr>
          <w:rFonts w:ascii="Times New Roman" w:hAnsi="Times New Roman" w:cs="Times New Roman"/>
          <w:sz w:val="22"/>
        </w:rPr>
        <w:t xml:space="preserve"> </w:t>
      </w:r>
    </w:p>
    <w:p w14:paraId="5F235886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sz w:val="22"/>
        </w:rPr>
        <w:t>Тип значения на странице по ссылке: Значение Close/Last</w:t>
      </w:r>
    </w:p>
    <w:p w14:paraId="6A07FDD2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b/>
          <w:bCs/>
          <w:i/>
          <w:iCs/>
          <w:sz w:val="22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FA145C4" w14:textId="77777777" w:rsidR="00DC32C6" w:rsidRPr="00DC32C6" w:rsidRDefault="00DC32C6" w:rsidP="00DC32C6">
      <w:pPr>
        <w:pStyle w:val="maintext"/>
        <w:jc w:val="center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sz w:val="22"/>
        </w:rPr>
        <w:lastRenderedPageBreak/>
        <w:t>ДД (руб.) = Nom × Ставка дополнительного дохода(j), где</w:t>
      </w:r>
    </w:p>
    <w:p w14:paraId="78FE604B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sz w:val="22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51C11342" w14:textId="77777777" w:rsidR="00DC32C6" w:rsidRPr="00DC32C6" w:rsidRDefault="00DC32C6" w:rsidP="00DC32C6">
      <w:pPr>
        <w:pStyle w:val="maintext"/>
        <w:rPr>
          <w:rFonts w:ascii="Times New Roman" w:hAnsi="Times New Roman" w:cs="Times New Roman"/>
          <w:sz w:val="22"/>
        </w:rPr>
      </w:pPr>
      <w:r w:rsidRPr="00DC32C6">
        <w:rPr>
          <w:rFonts w:ascii="Times New Roman" w:hAnsi="Times New Roman" w:cs="Times New Roman"/>
          <w:sz w:val="22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770CA81C" w:rsidR="00F528F2" w:rsidRPr="00DC32C6" w:rsidRDefault="00DC32C6" w:rsidP="00DC32C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36"/>
        </w:rPr>
      </w:pPr>
      <w:r w:rsidRPr="00DC32C6">
        <w:rPr>
          <w:rFonts w:ascii="Times New Roman" w:hAnsi="Times New Roman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DC32C6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BDA21" w14:textId="77777777" w:rsidR="00BA21E3" w:rsidRDefault="00BA21E3" w:rsidP="0053664B">
      <w:pPr>
        <w:spacing w:after="0" w:line="240" w:lineRule="auto"/>
      </w:pPr>
      <w:r>
        <w:separator/>
      </w:r>
    </w:p>
  </w:endnote>
  <w:endnote w:type="continuationSeparator" w:id="0">
    <w:p w14:paraId="752AC30C" w14:textId="77777777" w:rsidR="00BA21E3" w:rsidRDefault="00BA21E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CF31A9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54793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A05C5" w14:textId="77777777" w:rsidR="00BA21E3" w:rsidRDefault="00BA21E3" w:rsidP="0053664B">
      <w:pPr>
        <w:spacing w:after="0" w:line="240" w:lineRule="auto"/>
      </w:pPr>
      <w:r>
        <w:separator/>
      </w:r>
    </w:p>
  </w:footnote>
  <w:footnote w:type="continuationSeparator" w:id="0">
    <w:p w14:paraId="3F8FB84D" w14:textId="77777777" w:rsidR="00BA21E3" w:rsidRDefault="00BA21E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0FB6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21E3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793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2C6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97E58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367244A-4119-4B51-851B-BF45B36E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DC32C6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index/spx/historica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56A5-98C1-48F4-B873-CFDA193B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4812</Words>
  <Characters>27432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2021-12-07T12:09:00Z</dcterms:created>
  <dcterms:modified xsi:type="dcterms:W3CDTF">2021-12-07T12:09:00Z</dcterms:modified>
</cp:coreProperties>
</file>